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lang w:eastAsia="zh-CN"/>
        </w:rPr>
      </w:pPr>
      <w:r>
        <w:rPr>
          <w:rFonts w:hint="eastAsia" w:ascii="方正小标宋简体" w:hAnsi="方正小标宋简体" w:eastAsia="方正小标宋简体" w:cs="方正小标宋简体"/>
          <w:b w:val="0"/>
          <w:bCs/>
          <w:sz w:val="44"/>
          <w:szCs w:val="44"/>
        </w:rPr>
        <w:t>山东黄河物资储备中心</w:t>
      </w:r>
      <w:r>
        <w:rPr>
          <w:rFonts w:hint="eastAsia" w:ascii="方正小标宋简体" w:hAnsi="方正小标宋简体" w:eastAsia="方正小标宋简体" w:cs="方正小标宋简体"/>
          <w:b w:val="0"/>
          <w:bCs/>
          <w:sz w:val="44"/>
          <w:szCs w:val="44"/>
          <w:lang w:eastAsia="zh-CN"/>
        </w:rPr>
        <w:t>智能饮水设备</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lang w:val="en-US" w:eastAsia="zh-CN"/>
        </w:rPr>
      </w:pPr>
      <w:r>
        <w:rPr>
          <w:rFonts w:hint="eastAsia" w:ascii="方正小标宋简体" w:hAnsi="方正小标宋简体" w:eastAsia="方正小标宋简体" w:cs="方正小标宋简体"/>
          <w:b w:val="0"/>
          <w:bCs/>
          <w:sz w:val="44"/>
          <w:szCs w:val="44"/>
        </w:rPr>
        <w:t>采购项目</w:t>
      </w:r>
      <w:r>
        <w:rPr>
          <w:rFonts w:hint="eastAsia" w:ascii="方正小标宋简体" w:hAnsi="方正小标宋简体" w:eastAsia="方正小标宋简体" w:cs="方正小标宋简体"/>
          <w:b w:val="0"/>
          <w:bCs/>
          <w:sz w:val="44"/>
          <w:szCs w:val="44"/>
          <w:lang w:val="en-US" w:eastAsia="zh-CN"/>
        </w:rPr>
        <w:t>要求</w:t>
      </w:r>
    </w:p>
    <w:p>
      <w:pPr>
        <w:snapToGrid w:val="0"/>
        <w:spacing w:line="360" w:lineRule="auto"/>
        <w:ind w:firstLine="480" w:firstLineChars="200"/>
        <w:rPr>
          <w:rFonts w:hint="eastAsia" w:ascii="黑体" w:hAnsi="黑体" w:eastAsia="黑体" w:cs="黑体"/>
          <w:sz w:val="24"/>
          <w:lang w:val="en-US" w:eastAsia="zh-CN"/>
        </w:rPr>
      </w:pPr>
    </w:p>
    <w:p>
      <w:pPr>
        <w:snapToGrid w:val="0"/>
        <w:spacing w:line="360" w:lineRule="auto"/>
        <w:ind w:firstLine="480" w:firstLineChars="200"/>
        <w:rPr>
          <w:rFonts w:hint="eastAsia" w:ascii="黑体" w:hAnsi="黑体" w:eastAsia="黑体" w:cs="黑体"/>
          <w:sz w:val="24"/>
        </w:rPr>
      </w:pPr>
      <w:r>
        <w:rPr>
          <w:rFonts w:hint="eastAsia" w:ascii="黑体" w:hAnsi="黑体" w:eastAsia="黑体" w:cs="黑体"/>
          <w:sz w:val="24"/>
          <w:lang w:val="en-US" w:eastAsia="zh-CN"/>
        </w:rPr>
        <w:t>一、设备资质要求</w:t>
      </w:r>
    </w:p>
    <w:p>
      <w:pPr>
        <w:snapToGrid w:val="0"/>
        <w:spacing w:line="360" w:lineRule="auto"/>
        <w:ind w:firstLine="480" w:firstLineChars="200"/>
        <w:rPr>
          <w:rFonts w:hint="eastAsia" w:ascii="宋体" w:hAnsi="宋体"/>
          <w:sz w:val="24"/>
          <w:lang w:val="en-US" w:eastAsia="zh-CN"/>
        </w:rPr>
      </w:pPr>
      <w:r>
        <w:rPr>
          <w:rFonts w:hint="eastAsia" w:ascii="宋体" w:hAnsi="宋体"/>
          <w:sz w:val="24"/>
          <w:lang w:val="en-US" w:eastAsia="zh-CN"/>
        </w:rPr>
        <w:t>1.具有国内</w:t>
      </w:r>
      <w:r>
        <w:rPr>
          <w:rFonts w:hint="eastAsia" w:ascii="宋体" w:hAnsi="宋体"/>
          <w:sz w:val="24"/>
        </w:rPr>
        <w:t>涉及饮用水卫生安全产品卫生许可批件</w:t>
      </w:r>
      <w:r>
        <w:rPr>
          <w:rFonts w:hint="eastAsia" w:ascii="宋体" w:hAnsi="宋体"/>
          <w:sz w:val="24"/>
          <w:lang w:eastAsia="zh-CN"/>
        </w:rPr>
        <w:t>；</w:t>
      </w:r>
    </w:p>
    <w:p>
      <w:pPr>
        <w:snapToGrid w:val="0"/>
        <w:spacing w:line="360" w:lineRule="auto"/>
        <w:ind w:firstLine="480" w:firstLineChars="200"/>
        <w:rPr>
          <w:rFonts w:hint="eastAsia" w:ascii="宋体" w:hAnsi="宋体"/>
          <w:sz w:val="24"/>
          <w:lang w:val="en-US" w:eastAsia="zh-CN"/>
        </w:rPr>
      </w:pPr>
      <w:r>
        <w:rPr>
          <w:rFonts w:hint="eastAsia" w:ascii="宋体" w:hAnsi="宋体"/>
          <w:sz w:val="24"/>
          <w:lang w:val="en-US" w:eastAsia="zh-CN"/>
        </w:rPr>
        <w:t>2.具有</w:t>
      </w:r>
      <w:r>
        <w:rPr>
          <w:rFonts w:ascii="宋体" w:hAnsi="宋体"/>
          <w:sz w:val="24"/>
          <w:lang w:eastAsia="zh-CN"/>
        </w:rPr>
        <w:t>设备出水</w:t>
      </w:r>
      <w:r>
        <w:rPr>
          <w:rFonts w:hint="eastAsia" w:ascii="宋体" w:hAnsi="宋体"/>
          <w:sz w:val="24"/>
          <w:lang w:val="en-US" w:eastAsia="zh-CN"/>
        </w:rPr>
        <w:t>水质</w:t>
      </w:r>
      <w:r>
        <w:rPr>
          <w:rFonts w:hint="eastAsia" w:ascii="宋体" w:hAnsi="宋体"/>
          <w:sz w:val="24"/>
        </w:rPr>
        <w:t>质量检测报告</w:t>
      </w:r>
      <w:r>
        <w:rPr>
          <w:rFonts w:hint="eastAsia" w:ascii="宋体" w:hAnsi="宋体"/>
          <w:sz w:val="24"/>
          <w:lang w:eastAsia="zh-CN"/>
        </w:rPr>
        <w:t>；</w:t>
      </w:r>
    </w:p>
    <w:p>
      <w:pPr>
        <w:snapToGrid w:val="0"/>
        <w:spacing w:line="360" w:lineRule="auto"/>
        <w:ind w:firstLine="480" w:firstLineChars="200"/>
        <w:rPr>
          <w:rFonts w:hint="eastAsia" w:ascii="宋体" w:hAnsi="宋体"/>
          <w:sz w:val="24"/>
          <w:lang w:val="en-US" w:eastAsia="zh-CN"/>
        </w:rPr>
      </w:pPr>
      <w:r>
        <w:rPr>
          <w:rFonts w:hint="eastAsia" w:ascii="宋体" w:hAnsi="宋体"/>
          <w:sz w:val="24"/>
          <w:lang w:val="en-US" w:eastAsia="zh-CN"/>
        </w:rPr>
        <w:t>3.</w:t>
      </w:r>
      <w:r>
        <w:rPr>
          <w:rFonts w:ascii="宋体" w:hAnsi="宋体"/>
          <w:sz w:val="24"/>
          <w:lang w:eastAsia="zh-CN"/>
        </w:rPr>
        <w:t>设备</w:t>
      </w:r>
      <w:r>
        <w:rPr>
          <w:rFonts w:hint="eastAsia" w:ascii="宋体" w:hAnsi="宋体"/>
          <w:sz w:val="24"/>
          <w:lang w:val="en-US" w:eastAsia="zh-CN"/>
        </w:rPr>
        <w:t>出水水</w:t>
      </w:r>
      <w:r>
        <w:rPr>
          <w:rFonts w:hint="eastAsia" w:ascii="宋体" w:hAnsi="宋体"/>
          <w:b/>
          <w:bCs/>
          <w:sz w:val="24"/>
          <w:lang w:val="en-US" w:eastAsia="zh-CN"/>
        </w:rPr>
        <w:t>质</w:t>
      </w:r>
      <w:r>
        <w:rPr>
          <w:rFonts w:hint="eastAsia" w:ascii="宋体" w:hAnsi="宋体"/>
          <w:sz w:val="24"/>
          <w:lang w:val="en-US" w:eastAsia="zh-CN"/>
        </w:rPr>
        <w:t>现阶段须符合GB 5749-2006《生活饮用水卫生标准》，自2023年4月1日起需符合GB5749-2022</w:t>
      </w:r>
      <w:r>
        <w:rPr>
          <w:rFonts w:ascii="宋体" w:hAnsi="宋体"/>
          <w:sz w:val="24"/>
          <w:lang w:eastAsia="zh-CN"/>
        </w:rPr>
        <w:t>《生活饮用水卫生标准》</w:t>
      </w:r>
      <w:r>
        <w:rPr>
          <w:rFonts w:hint="eastAsia" w:ascii="宋体" w:hAnsi="宋体"/>
          <w:sz w:val="24"/>
          <w:lang w:eastAsia="zh-CN"/>
        </w:rPr>
        <w:t>，</w:t>
      </w:r>
      <w:r>
        <w:rPr>
          <w:rFonts w:hint="eastAsia" w:ascii="宋体" w:hAnsi="宋体"/>
          <w:sz w:val="24"/>
          <w:lang w:val="en-US" w:eastAsia="zh-CN"/>
        </w:rPr>
        <w:t>届时若不符合标准的，需免费更新设备，后期供货需符合新标准。</w:t>
      </w:r>
    </w:p>
    <w:p>
      <w:pPr>
        <w:snapToGrid w:val="0"/>
        <w:spacing w:line="360" w:lineRule="auto"/>
        <w:ind w:firstLine="480" w:firstLineChars="200"/>
        <w:rPr>
          <w:rFonts w:hint="eastAsia" w:ascii="黑体" w:hAnsi="黑体" w:eastAsia="黑体" w:cs="黑体"/>
          <w:sz w:val="24"/>
        </w:rPr>
      </w:pPr>
      <w:r>
        <w:rPr>
          <w:rFonts w:hint="eastAsia" w:ascii="黑体" w:hAnsi="黑体" w:eastAsia="黑体" w:cs="黑体"/>
          <w:sz w:val="24"/>
          <w:lang w:eastAsia="zh-CN"/>
        </w:rPr>
        <w:t>二、</w:t>
      </w:r>
      <w:r>
        <w:rPr>
          <w:rFonts w:hint="eastAsia" w:ascii="黑体" w:hAnsi="黑体" w:eastAsia="黑体" w:cs="黑体"/>
          <w:sz w:val="24"/>
        </w:rPr>
        <w:t>规格参数</w:t>
      </w:r>
    </w:p>
    <w:p>
      <w:pPr>
        <w:snapToGrid w:val="0"/>
        <w:spacing w:line="360" w:lineRule="auto"/>
        <w:ind w:firstLine="481" w:firstLineChars="200"/>
        <w:rPr>
          <w:rFonts w:hint="eastAsia" w:ascii="宋体" w:hAnsi="宋体"/>
          <w:b/>
          <w:bCs/>
          <w:sz w:val="24"/>
        </w:rPr>
      </w:pPr>
      <w:r>
        <w:rPr>
          <w:rFonts w:hint="eastAsia" w:ascii="宋体" w:hAnsi="宋体"/>
          <w:b/>
          <w:bCs/>
          <w:sz w:val="24"/>
          <w:lang w:val="en-US" w:eastAsia="zh-CN"/>
        </w:rPr>
        <w:t>1.</w:t>
      </w:r>
      <w:r>
        <w:rPr>
          <w:rFonts w:hint="eastAsia" w:ascii="宋体" w:hAnsi="宋体"/>
          <w:b/>
          <w:bCs/>
          <w:sz w:val="24"/>
        </w:rPr>
        <w:t>整机材质：</w:t>
      </w:r>
      <w:r>
        <w:rPr>
          <w:rFonts w:hint="eastAsia" w:ascii="宋体" w:hAnsi="宋体"/>
          <w:sz w:val="24"/>
          <w:lang w:val="en-US" w:eastAsia="zh-CN"/>
        </w:rPr>
        <w:t>不低于4</w:t>
      </w:r>
      <w:r>
        <w:rPr>
          <w:rFonts w:hint="eastAsia" w:ascii="宋体" w:hAnsi="宋体"/>
          <w:sz w:val="24"/>
        </w:rPr>
        <w:t>mm</w:t>
      </w:r>
      <w:r>
        <w:rPr>
          <w:rFonts w:hint="eastAsia" w:ascii="宋体" w:hAnsi="宋体"/>
          <w:sz w:val="24"/>
          <w:lang w:val="en-US" w:eastAsia="zh-CN"/>
        </w:rPr>
        <w:t>厚度的板材+防锈措施</w:t>
      </w:r>
      <w:r>
        <w:rPr>
          <w:rFonts w:hint="eastAsia" w:ascii="宋体" w:hAnsi="宋体"/>
          <w:sz w:val="24"/>
        </w:rPr>
        <w:t>。</w:t>
      </w:r>
    </w:p>
    <w:p>
      <w:pPr>
        <w:snapToGrid w:val="0"/>
        <w:spacing w:line="360" w:lineRule="auto"/>
        <w:ind w:firstLine="481" w:firstLineChars="200"/>
        <w:rPr>
          <w:rFonts w:hint="eastAsia" w:ascii="宋体" w:hAnsi="宋体" w:eastAsia="宋体"/>
          <w:b/>
          <w:bCs/>
          <w:sz w:val="24"/>
          <w:lang w:val="en-US" w:eastAsia="zh-CN"/>
        </w:rPr>
      </w:pPr>
      <w:r>
        <w:rPr>
          <w:rFonts w:hint="eastAsia" w:ascii="宋体" w:hAnsi="宋体"/>
          <w:b/>
          <w:bCs/>
          <w:sz w:val="24"/>
          <w:lang w:val="en-US" w:eastAsia="zh-CN"/>
        </w:rPr>
        <w:t>2.</w:t>
      </w:r>
      <w:r>
        <w:rPr>
          <w:rFonts w:hint="eastAsia" w:ascii="宋体" w:hAnsi="宋体" w:eastAsia="宋体"/>
          <w:b/>
          <w:bCs/>
          <w:sz w:val="24"/>
          <w:lang w:val="en-US" w:eastAsia="zh-CN"/>
        </w:rPr>
        <w:t>整机样式：</w:t>
      </w:r>
    </w:p>
    <w:p>
      <w:pPr>
        <w:snapToGrid w:val="0"/>
        <w:spacing w:line="360" w:lineRule="auto"/>
        <w:rPr>
          <w:rFonts w:hint="eastAsia" w:ascii="宋体" w:hAnsi="宋体"/>
          <w:b/>
          <w:bCs/>
          <w:sz w:val="24"/>
          <w:lang w:val="en-US" w:eastAsia="zh-CN"/>
        </w:rPr>
      </w:pPr>
      <w:r>
        <w:rPr>
          <w:rFonts w:hint="eastAsia" w:ascii="宋体" w:hAnsi="宋体"/>
          <w:b/>
          <w:bCs/>
          <w:sz w:val="24"/>
          <w:lang w:val="en-US" w:eastAsia="zh-CN"/>
        </w:rPr>
        <w:t>电源：</w:t>
      </w:r>
      <w:r>
        <w:rPr>
          <w:rFonts w:hint="eastAsia" w:ascii="宋体" w:hAnsi="宋体"/>
          <w:sz w:val="24"/>
          <w:lang w:val="en-US" w:eastAsia="zh-CN"/>
        </w:rPr>
        <w:t>220V  50/60Hz；可进行变压。</w:t>
      </w:r>
    </w:p>
    <w:p>
      <w:pPr>
        <w:snapToGrid w:val="0"/>
        <w:spacing w:line="360" w:lineRule="auto"/>
        <w:rPr>
          <w:rFonts w:hint="eastAsia" w:ascii="宋体" w:hAnsi="宋体" w:eastAsia="宋体"/>
          <w:b/>
          <w:bCs/>
          <w:sz w:val="24"/>
          <w:lang w:val="en-US" w:eastAsia="zh-CN"/>
        </w:rPr>
      </w:pPr>
      <w:r>
        <w:rPr>
          <w:rFonts w:hint="eastAsia" w:ascii="宋体" w:hAnsi="宋体" w:eastAsia="宋体"/>
          <w:b/>
          <w:bCs/>
          <w:sz w:val="24"/>
          <w:lang w:val="en-US" w:eastAsia="zh-CN"/>
        </w:rPr>
        <w:t>产量：≥</w:t>
      </w:r>
      <w:r>
        <w:rPr>
          <w:rFonts w:hint="eastAsia" w:ascii="宋体" w:hAnsi="宋体" w:eastAsia="宋体"/>
          <w:sz w:val="24"/>
          <w:lang w:val="en-US" w:eastAsia="zh-CN"/>
        </w:rPr>
        <w:t>1200加仑/24h。</w:t>
      </w:r>
    </w:p>
    <w:p>
      <w:pPr>
        <w:snapToGrid w:val="0"/>
        <w:spacing w:line="360" w:lineRule="auto"/>
        <w:ind w:firstLine="481" w:firstLineChars="200"/>
        <w:rPr>
          <w:rFonts w:hint="eastAsia" w:ascii="宋体" w:hAnsi="宋体"/>
          <w:b/>
          <w:bCs/>
          <w:sz w:val="24"/>
          <w:lang w:val="en-US" w:eastAsia="zh-CN"/>
        </w:rPr>
      </w:pPr>
      <w:r>
        <w:rPr>
          <w:rFonts w:hint="eastAsia" w:ascii="宋体" w:hAnsi="宋体"/>
          <w:b/>
          <w:bCs/>
          <w:sz w:val="24"/>
          <w:lang w:val="en-US" w:eastAsia="zh-CN"/>
        </w:rPr>
        <w:t>3.智能控制系统：</w:t>
      </w:r>
    </w:p>
    <w:p>
      <w:pPr>
        <w:snapToGrid w:val="0"/>
        <w:spacing w:line="360" w:lineRule="auto"/>
        <w:rPr>
          <w:rFonts w:hint="eastAsia" w:ascii="宋体" w:hAnsi="宋体" w:eastAsia="宋体"/>
          <w:b w:val="0"/>
          <w:bCs w:val="0"/>
          <w:sz w:val="24"/>
          <w:lang w:val="en-US" w:eastAsia="zh-CN"/>
        </w:rPr>
      </w:pPr>
      <w:r>
        <w:rPr>
          <w:rFonts w:hint="eastAsia" w:ascii="宋体" w:hAnsi="宋体" w:eastAsia="宋体"/>
          <w:b w:val="0"/>
          <w:bCs w:val="0"/>
          <w:sz w:val="24"/>
          <w:lang w:val="en-US" w:eastAsia="zh-CN"/>
        </w:rPr>
        <w:t>①具备温度显示、水箱水位、杀菌状态、断水保护、自动冲洗膜、面板自动反馈设备故障等报警。</w:t>
      </w:r>
    </w:p>
    <w:p>
      <w:pPr>
        <w:snapToGrid w:val="0"/>
        <w:spacing w:line="360" w:lineRule="auto"/>
        <w:rPr>
          <w:rFonts w:hint="eastAsia" w:ascii="宋体" w:hAnsi="宋体"/>
          <w:b w:val="0"/>
          <w:bCs w:val="0"/>
          <w:sz w:val="24"/>
          <w:lang w:val="en-US" w:eastAsia="zh-CN"/>
        </w:rPr>
      </w:pPr>
      <w:r>
        <w:rPr>
          <w:rFonts w:hint="eastAsia" w:ascii="宋体" w:hAnsi="宋体"/>
          <w:b w:val="0"/>
          <w:bCs w:val="0"/>
          <w:sz w:val="24"/>
          <w:lang w:val="en-US" w:eastAsia="zh-CN"/>
        </w:rPr>
        <w:t>②</w:t>
      </w:r>
      <w:r>
        <w:rPr>
          <w:rFonts w:hint="eastAsia" w:ascii="宋体" w:hAnsi="宋体" w:eastAsia="宋体"/>
          <w:b w:val="0"/>
          <w:bCs w:val="0"/>
          <w:sz w:val="24"/>
          <w:lang w:val="en-US" w:eastAsia="zh-CN"/>
        </w:rPr>
        <w:t>可</w:t>
      </w:r>
      <w:r>
        <w:rPr>
          <w:rFonts w:hint="eastAsia" w:ascii="宋体" w:hAnsi="宋体"/>
          <w:b w:val="0"/>
          <w:bCs w:val="0"/>
          <w:sz w:val="24"/>
          <w:lang w:val="en-US" w:eastAsia="zh-CN"/>
        </w:rPr>
        <w:t>在后台</w:t>
      </w:r>
      <w:r>
        <w:rPr>
          <w:rFonts w:hint="eastAsia" w:ascii="宋体" w:hAnsi="宋体" w:eastAsia="宋体"/>
          <w:b w:val="0"/>
          <w:bCs w:val="0"/>
          <w:sz w:val="24"/>
          <w:lang w:val="en-US" w:eastAsia="zh-CN"/>
        </w:rPr>
        <w:t>实现远程充值和监控管理功能，可于手机端（小程序）或电脑端（网页）登录</w:t>
      </w:r>
      <w:r>
        <w:rPr>
          <w:rFonts w:hint="eastAsia" w:ascii="宋体" w:hAnsi="宋体"/>
          <w:b w:val="0"/>
          <w:bCs w:val="0"/>
          <w:sz w:val="24"/>
          <w:lang w:val="en-US" w:eastAsia="zh-CN"/>
        </w:rPr>
        <w:t>。</w:t>
      </w:r>
    </w:p>
    <w:p>
      <w:pPr>
        <w:snapToGrid w:val="0"/>
        <w:spacing w:line="360" w:lineRule="auto"/>
        <w:rPr>
          <w:rFonts w:hint="eastAsia" w:ascii="宋体" w:hAnsi="宋体"/>
          <w:b w:val="0"/>
          <w:bCs w:val="0"/>
          <w:sz w:val="24"/>
          <w:lang w:val="en-US" w:eastAsia="zh-CN"/>
        </w:rPr>
      </w:pPr>
      <w:r>
        <w:rPr>
          <w:rFonts w:hint="eastAsia" w:ascii="宋体" w:hAnsi="宋体"/>
          <w:b w:val="0"/>
          <w:bCs w:val="0"/>
          <w:sz w:val="24"/>
          <w:lang w:val="en-US" w:eastAsia="zh-CN"/>
        </w:rPr>
        <w:t>③</w:t>
      </w:r>
      <w:r>
        <w:rPr>
          <w:rFonts w:hint="eastAsia" w:ascii="宋体" w:hAnsi="宋体" w:eastAsia="宋体"/>
          <w:b w:val="0"/>
          <w:bCs w:val="0"/>
          <w:sz w:val="24"/>
          <w:lang w:val="en-US" w:eastAsia="zh-CN"/>
        </w:rPr>
        <w:t>支付系统支持刷卡、投币、扫码。</w:t>
      </w:r>
    </w:p>
    <w:p>
      <w:pPr>
        <w:snapToGrid w:val="0"/>
        <w:spacing w:line="360" w:lineRule="auto"/>
        <w:rPr>
          <w:rFonts w:hint="eastAsia" w:ascii="宋体" w:hAnsi="宋体"/>
          <w:b w:val="0"/>
          <w:bCs w:val="0"/>
          <w:sz w:val="24"/>
          <w:lang w:val="en-US" w:eastAsia="zh-CN"/>
        </w:rPr>
      </w:pPr>
      <w:r>
        <w:rPr>
          <w:rFonts w:hint="eastAsia" w:ascii="宋体" w:hAnsi="宋体"/>
          <w:b w:val="0"/>
          <w:bCs w:val="0"/>
          <w:sz w:val="24"/>
          <w:lang w:val="en-US" w:eastAsia="zh-CN"/>
        </w:rPr>
        <w:t>④</w:t>
      </w:r>
      <w:r>
        <w:rPr>
          <w:rFonts w:hint="eastAsia" w:ascii="宋体" w:hAnsi="宋体" w:eastAsia="宋体"/>
          <w:b w:val="0"/>
          <w:bCs w:val="0"/>
          <w:sz w:val="24"/>
          <w:lang w:val="en-US" w:eastAsia="zh-CN"/>
        </w:rPr>
        <w:t>物联网流量卡</w:t>
      </w:r>
      <w:r>
        <w:rPr>
          <w:rFonts w:hint="eastAsia" w:ascii="宋体" w:hAnsi="宋体"/>
          <w:b w:val="0"/>
          <w:bCs w:val="0"/>
          <w:sz w:val="24"/>
          <w:lang w:val="en-US" w:eastAsia="zh-CN"/>
        </w:rPr>
        <w:t>需</w:t>
      </w:r>
      <w:r>
        <w:rPr>
          <w:rFonts w:hint="eastAsia" w:ascii="宋体" w:hAnsi="宋体" w:eastAsia="宋体"/>
          <w:b w:val="0"/>
          <w:bCs w:val="0"/>
          <w:sz w:val="24"/>
          <w:lang w:val="en-US" w:eastAsia="zh-CN"/>
        </w:rPr>
        <w:t>与智能管理系统配套，</w:t>
      </w:r>
      <w:r>
        <w:rPr>
          <w:rFonts w:hint="eastAsia" w:ascii="宋体" w:hAnsi="宋体"/>
          <w:b w:val="0"/>
          <w:bCs w:val="0"/>
          <w:sz w:val="24"/>
          <w:lang w:val="en-US" w:eastAsia="zh-CN"/>
        </w:rPr>
        <w:t>每</w:t>
      </w:r>
      <w:r>
        <w:rPr>
          <w:rFonts w:hint="eastAsia" w:ascii="宋体" w:hAnsi="宋体" w:eastAsia="宋体"/>
          <w:b w:val="0"/>
          <w:bCs w:val="0"/>
          <w:sz w:val="24"/>
          <w:lang w:val="en-US" w:eastAsia="zh-CN"/>
        </w:rPr>
        <w:t>年开始</w:t>
      </w:r>
      <w:r>
        <w:rPr>
          <w:rFonts w:hint="eastAsia" w:ascii="宋体" w:hAnsi="宋体"/>
          <w:b w:val="0"/>
          <w:bCs w:val="0"/>
          <w:sz w:val="24"/>
          <w:lang w:val="en-US" w:eastAsia="zh-CN"/>
        </w:rPr>
        <w:t>年费不高于50（含）</w:t>
      </w:r>
      <w:r>
        <w:rPr>
          <w:rFonts w:hint="eastAsia" w:ascii="宋体" w:hAnsi="宋体" w:eastAsia="宋体"/>
          <w:b w:val="0"/>
          <w:bCs w:val="0"/>
          <w:sz w:val="24"/>
          <w:lang w:val="en-US" w:eastAsia="zh-CN"/>
        </w:rPr>
        <w:t>元/年，可于后台自主缴费</w:t>
      </w:r>
      <w:r>
        <w:rPr>
          <w:rFonts w:hint="eastAsia" w:ascii="宋体" w:hAnsi="宋体"/>
          <w:b w:val="0"/>
          <w:bCs w:val="0"/>
          <w:sz w:val="24"/>
          <w:lang w:val="en-US" w:eastAsia="zh-CN"/>
        </w:rPr>
        <w:t>。</w:t>
      </w:r>
    </w:p>
    <w:p>
      <w:pPr>
        <w:snapToGrid w:val="0"/>
        <w:spacing w:line="360" w:lineRule="auto"/>
        <w:ind w:firstLine="481" w:firstLineChars="200"/>
        <w:rPr>
          <w:rFonts w:hint="eastAsia" w:ascii="宋体" w:hAnsi="宋体"/>
          <w:b/>
          <w:bCs/>
          <w:sz w:val="24"/>
          <w:lang w:val="en-US" w:eastAsia="zh-CN"/>
        </w:rPr>
      </w:pPr>
      <w:r>
        <w:rPr>
          <w:rFonts w:hint="eastAsia" w:ascii="宋体" w:hAnsi="宋体"/>
          <w:b/>
          <w:bCs/>
          <w:sz w:val="24"/>
          <w:lang w:val="en-US" w:eastAsia="zh-CN"/>
        </w:rPr>
        <w:t>4.过滤杀菌系统：</w:t>
      </w:r>
    </w:p>
    <w:p>
      <w:pPr>
        <w:snapToGrid w:val="0"/>
        <w:spacing w:line="360" w:lineRule="auto"/>
        <w:rPr>
          <w:rFonts w:ascii="宋体" w:hAnsi="宋体" w:eastAsia="宋体"/>
          <w:b w:val="0"/>
          <w:bCs w:val="0"/>
          <w:sz w:val="24"/>
          <w:lang w:val="en-US" w:eastAsia="zh-CN"/>
        </w:rPr>
      </w:pPr>
      <w:r>
        <w:rPr>
          <w:rFonts w:ascii="宋体" w:hAnsi="宋体" w:eastAsia="宋体"/>
          <w:b w:val="0"/>
          <w:bCs w:val="0"/>
          <w:sz w:val="24"/>
          <w:lang w:val="en-US" w:eastAsia="zh-CN"/>
        </w:rPr>
        <w:t>①</w:t>
      </w:r>
      <w:r>
        <w:rPr>
          <w:rFonts w:hint="eastAsia" w:ascii="宋体" w:hAnsi="宋体"/>
          <w:b w:val="0"/>
          <w:bCs w:val="0"/>
          <w:sz w:val="24"/>
          <w:lang w:val="en-US" w:eastAsia="zh-CN"/>
        </w:rPr>
        <w:t>八</w:t>
      </w:r>
      <w:r>
        <w:rPr>
          <w:rFonts w:hint="eastAsia" w:ascii="宋体" w:hAnsi="宋体" w:eastAsia="宋体"/>
          <w:b w:val="0"/>
          <w:bCs w:val="0"/>
          <w:sz w:val="24"/>
          <w:lang w:val="en-US" w:eastAsia="zh-CN"/>
        </w:rPr>
        <w:t>级或以上的过滤系统（参考系统：市政自来水→聚丙烯熔喷滤芯→颗粒活性炭→压缩活性炭→1微米熔喷棉→反渗透*2（0.0001um）→专项功能滤芯→T33后置活性炭*3→臭氧发生器→直饮水）。（同等价格下过滤层级更高优先采用）</w:t>
      </w:r>
    </w:p>
    <w:p>
      <w:pPr>
        <w:snapToGrid w:val="0"/>
        <w:spacing w:line="360" w:lineRule="auto"/>
        <w:rPr>
          <w:rFonts w:ascii="宋体" w:hAnsi="宋体" w:eastAsia="宋体"/>
          <w:b w:val="0"/>
          <w:bCs w:val="0"/>
          <w:sz w:val="24"/>
          <w:lang w:val="en-US" w:eastAsia="zh-CN"/>
        </w:rPr>
      </w:pPr>
      <w:r>
        <w:rPr>
          <w:rFonts w:ascii="宋体" w:hAnsi="宋体" w:eastAsia="宋体"/>
          <w:b w:val="0"/>
          <w:bCs w:val="0"/>
          <w:sz w:val="24"/>
          <w:lang w:val="en-US" w:eastAsia="zh-CN"/>
        </w:rPr>
        <w:t>②滤芯：PP棉1um - 5um，便于更换。</w:t>
      </w:r>
    </w:p>
    <w:p>
      <w:pPr>
        <w:snapToGrid w:val="0"/>
        <w:spacing w:line="360" w:lineRule="auto"/>
        <w:rPr>
          <w:rFonts w:ascii="宋体" w:hAnsi="宋体" w:eastAsia="宋体"/>
          <w:b w:val="0"/>
          <w:bCs w:val="0"/>
          <w:sz w:val="24"/>
          <w:lang w:val="en-US" w:eastAsia="zh-CN"/>
        </w:rPr>
      </w:pPr>
      <w:r>
        <w:rPr>
          <w:rFonts w:ascii="宋体" w:hAnsi="宋体" w:eastAsia="宋体"/>
          <w:b w:val="0"/>
          <w:bCs w:val="0"/>
          <w:sz w:val="24"/>
          <w:lang w:val="en-US" w:eastAsia="zh-CN"/>
        </w:rPr>
        <w:t>③</w:t>
      </w:r>
      <w:r>
        <w:rPr>
          <w:rFonts w:hint="eastAsia" w:ascii="宋体" w:hAnsi="宋体" w:eastAsia="宋体"/>
          <w:b w:val="0"/>
          <w:bCs w:val="0"/>
          <w:sz w:val="24"/>
          <w:lang w:val="en-US" w:eastAsia="zh-CN"/>
        </w:rPr>
        <w:t>出水质量保证符合国家许可，按照正常维护标准，</w:t>
      </w:r>
      <w:r>
        <w:rPr>
          <w:rFonts w:hint="eastAsia" w:ascii="宋体" w:hAnsi="宋体"/>
          <w:b w:val="0"/>
          <w:bCs w:val="0"/>
          <w:sz w:val="24"/>
          <w:lang w:val="en-US" w:eastAsia="zh-CN"/>
        </w:rPr>
        <w:t>3</w:t>
      </w:r>
      <w:r>
        <w:rPr>
          <w:rFonts w:hint="eastAsia" w:ascii="宋体" w:hAnsi="宋体" w:eastAsia="宋体"/>
          <w:b w:val="0"/>
          <w:bCs w:val="0"/>
          <w:sz w:val="24"/>
          <w:lang w:val="en-US" w:eastAsia="zh-CN"/>
        </w:rPr>
        <w:t>年内出水仍能达到采购当年国家标准。</w:t>
      </w:r>
    </w:p>
    <w:p>
      <w:pPr>
        <w:snapToGrid w:val="0"/>
        <w:spacing w:line="360" w:lineRule="auto"/>
        <w:ind w:firstLine="481" w:firstLineChars="200"/>
        <w:rPr>
          <w:rFonts w:hint="eastAsia" w:ascii="宋体" w:hAnsi="宋体"/>
          <w:b/>
          <w:bCs/>
          <w:sz w:val="24"/>
          <w:lang w:val="en-US" w:eastAsia="zh-CN"/>
        </w:rPr>
      </w:pPr>
      <w:r>
        <w:rPr>
          <w:rFonts w:hint="eastAsia" w:ascii="宋体" w:hAnsi="宋体"/>
          <w:b/>
          <w:bCs/>
          <w:sz w:val="24"/>
          <w:lang w:val="en-US" w:eastAsia="zh-CN"/>
        </w:rPr>
        <w:t>5.输水、取水系统：</w:t>
      </w:r>
    </w:p>
    <w:p>
      <w:pPr>
        <w:snapToGrid w:val="0"/>
        <w:spacing w:line="360" w:lineRule="auto"/>
        <w:rPr>
          <w:rFonts w:hint="eastAsia" w:ascii="宋体" w:hAnsi="宋体"/>
          <w:sz w:val="24"/>
          <w:lang w:val="en-US" w:eastAsia="zh-CN"/>
        </w:rPr>
      </w:pPr>
      <w:r>
        <w:rPr>
          <w:rFonts w:hint="eastAsia" w:ascii="宋体" w:hAnsi="宋体"/>
          <w:sz w:val="24"/>
          <w:lang w:val="en-US" w:eastAsia="zh-CN"/>
        </w:rPr>
        <w:t>灌装泵：功率不得小于30W，灌满7.5L桶时间不得超过60秒。</w:t>
      </w:r>
    </w:p>
    <w:p>
      <w:pPr>
        <w:snapToGrid w:val="0"/>
        <w:spacing w:line="360" w:lineRule="auto"/>
        <w:rPr>
          <w:rFonts w:hint="eastAsia" w:ascii="宋体" w:hAnsi="宋体"/>
          <w:b w:val="0"/>
          <w:bCs w:val="0"/>
          <w:sz w:val="24"/>
          <w:lang w:val="en-US" w:eastAsia="zh-CN"/>
        </w:rPr>
      </w:pPr>
      <w:r>
        <w:rPr>
          <w:rFonts w:hint="eastAsia" w:ascii="宋体" w:hAnsi="宋体"/>
          <w:b w:val="0"/>
          <w:bCs w:val="0"/>
          <w:sz w:val="24"/>
          <w:lang w:val="en-US" w:eastAsia="zh-CN"/>
        </w:rPr>
        <w:t>打水仓：材质</w:t>
      </w:r>
      <w:r>
        <w:rPr>
          <w:rFonts w:hint="eastAsia" w:ascii="宋体" w:hAnsi="宋体"/>
          <w:b w:val="0"/>
          <w:bCs w:val="0"/>
          <w:sz w:val="24"/>
        </w:rPr>
        <w:t>304不锈钢；4mm钢化玻璃包边门。</w:t>
      </w:r>
    </w:p>
    <w:p>
      <w:pPr>
        <w:snapToGrid w:val="0"/>
        <w:spacing w:line="360" w:lineRule="auto"/>
        <w:rPr>
          <w:rFonts w:hint="eastAsia" w:ascii="宋体" w:hAnsi="宋体"/>
          <w:b w:val="0"/>
          <w:bCs w:val="0"/>
          <w:sz w:val="24"/>
          <w:lang w:val="en-US" w:eastAsia="zh-CN"/>
        </w:rPr>
      </w:pPr>
      <w:r>
        <w:rPr>
          <w:rFonts w:hint="eastAsia" w:ascii="宋体" w:hAnsi="宋体"/>
          <w:b w:val="0"/>
          <w:bCs w:val="0"/>
          <w:sz w:val="24"/>
          <w:lang w:val="en-US" w:eastAsia="zh-CN"/>
        </w:rPr>
        <w:t>出水：矿物质水/纯净水（至少两个出水口），需符合招标方要求，出具纯净水水质检测报告。</w:t>
      </w:r>
    </w:p>
    <w:p>
      <w:pPr>
        <w:snapToGrid w:val="0"/>
        <w:spacing w:line="360" w:lineRule="auto"/>
        <w:rPr>
          <w:rFonts w:hint="eastAsia" w:ascii="宋体" w:hAnsi="宋体"/>
          <w:sz w:val="24"/>
          <w:lang w:val="en-US" w:eastAsia="zh-CN"/>
        </w:rPr>
      </w:pPr>
      <w:r>
        <w:rPr>
          <w:rFonts w:hint="eastAsia" w:ascii="宋体" w:hAnsi="宋体"/>
          <w:sz w:val="24"/>
          <w:lang w:val="en-US" w:eastAsia="zh-CN"/>
        </w:rPr>
        <w:t>取水、计费方式：自助式定量灌装，一键出水。可自由调整单价及一次出水量，并根据出水量进行计费。</w:t>
      </w:r>
    </w:p>
    <w:p>
      <w:pPr>
        <w:snapToGrid w:val="0"/>
        <w:spacing w:line="360" w:lineRule="auto"/>
        <w:ind w:firstLine="481" w:firstLineChars="200"/>
        <w:rPr>
          <w:rFonts w:hint="eastAsia" w:ascii="宋体" w:hAnsi="宋体"/>
          <w:b/>
          <w:bCs/>
          <w:sz w:val="24"/>
          <w:lang w:val="en-US" w:eastAsia="zh-CN"/>
        </w:rPr>
      </w:pPr>
      <w:r>
        <w:rPr>
          <w:rFonts w:hint="eastAsia" w:ascii="宋体" w:hAnsi="宋体"/>
          <w:b/>
          <w:bCs/>
          <w:sz w:val="24"/>
          <w:lang w:val="en-US" w:eastAsia="zh-CN"/>
        </w:rPr>
        <w:t>6.保温系统：</w:t>
      </w:r>
    </w:p>
    <w:p>
      <w:pPr>
        <w:snapToGrid w:val="0"/>
        <w:spacing w:line="360" w:lineRule="auto"/>
        <w:rPr>
          <w:rFonts w:hint="eastAsia" w:ascii="宋体" w:hAnsi="宋体"/>
          <w:b w:val="0"/>
          <w:bCs w:val="0"/>
          <w:sz w:val="24"/>
          <w:lang w:val="en-US" w:eastAsia="zh-CN"/>
        </w:rPr>
      </w:pPr>
      <w:r>
        <w:rPr>
          <w:rFonts w:hint="eastAsia" w:ascii="宋体" w:hAnsi="宋体"/>
          <w:b w:val="0"/>
          <w:bCs w:val="0"/>
          <w:sz w:val="24"/>
          <w:lang w:val="en-US" w:eastAsia="zh-CN"/>
        </w:rPr>
        <w:t>保温装置：双独立自动控温系统，</w:t>
      </w:r>
      <w:r>
        <w:rPr>
          <w:rFonts w:hint="eastAsia" w:ascii="宋体" w:hAnsi="宋体" w:eastAsia="宋体"/>
          <w:b w:val="0"/>
          <w:bCs w:val="0"/>
          <w:sz w:val="24"/>
          <w:lang w:val="en-US" w:eastAsia="zh-CN"/>
        </w:rPr>
        <w:t>可保证-15℃正常使用。</w:t>
      </w:r>
    </w:p>
    <w:p>
      <w:pPr>
        <w:snapToGrid w:val="0"/>
        <w:spacing w:line="360" w:lineRule="auto"/>
        <w:rPr>
          <w:rFonts w:ascii="宋体" w:hAnsi="宋体" w:eastAsia="宋体"/>
          <w:b w:val="0"/>
          <w:bCs w:val="0"/>
          <w:sz w:val="24"/>
          <w:lang w:val="en-US" w:eastAsia="zh-CN"/>
        </w:rPr>
      </w:pPr>
      <w:r>
        <w:rPr>
          <w:rFonts w:ascii="宋体" w:hAnsi="宋体" w:eastAsia="宋体"/>
          <w:b w:val="0"/>
          <w:bCs w:val="0"/>
          <w:sz w:val="24"/>
          <w:lang w:val="en-US" w:eastAsia="zh-CN"/>
        </w:rPr>
        <w:t>售后系统：实时更新售后维修维护情况，内部及客户均可查看。</w:t>
      </w:r>
    </w:p>
    <w:p>
      <w:pPr>
        <w:snapToGrid w:val="0"/>
        <w:spacing w:line="360" w:lineRule="auto"/>
        <w:ind w:firstLine="480" w:firstLineChars="200"/>
        <w:rPr>
          <w:rFonts w:hint="eastAsia" w:ascii="黑体" w:hAnsi="黑体" w:eastAsia="黑体" w:cs="黑体"/>
          <w:sz w:val="24"/>
          <w:lang w:val="en-US" w:eastAsia="zh-CN"/>
        </w:rPr>
      </w:pPr>
      <w:r>
        <w:rPr>
          <w:rFonts w:hint="eastAsia" w:ascii="黑体" w:hAnsi="黑体" w:eastAsia="黑体" w:cs="黑体"/>
          <w:sz w:val="24"/>
          <w:lang w:val="en-US" w:eastAsia="zh-CN"/>
        </w:rPr>
        <w:t>三、售后及维护</w:t>
      </w:r>
    </w:p>
    <w:p>
      <w:pPr>
        <w:snapToGrid w:val="0"/>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1</w:t>
      </w:r>
      <w:r>
        <w:rPr>
          <w:rFonts w:hint="eastAsia" w:ascii="宋体" w:hAnsi="宋体"/>
          <w:sz w:val="24"/>
          <w:lang w:val="en-US" w:eastAsia="zh-CN"/>
        </w:rPr>
        <w:t>.</w:t>
      </w:r>
      <w:r>
        <w:rPr>
          <w:rFonts w:hint="eastAsia" w:ascii="宋体" w:hAnsi="宋体" w:eastAsia="宋体"/>
          <w:sz w:val="24"/>
          <w:lang w:val="en-US" w:eastAsia="zh-CN"/>
        </w:rPr>
        <w:t>提供全流程的饮水机基建配套改造服务，包括设备专用摆放平台修缮</w:t>
      </w:r>
      <w:r>
        <w:rPr>
          <w:rFonts w:hint="eastAsia" w:ascii="宋体" w:hAnsi="宋体"/>
          <w:sz w:val="24"/>
          <w:lang w:val="en-US" w:eastAsia="zh-CN"/>
        </w:rPr>
        <w:t>（平台高度</w:t>
      </w:r>
      <w:bookmarkStart w:id="0" w:name="_GoBack"/>
      <w:bookmarkEnd w:id="0"/>
      <w:r>
        <w:rPr>
          <w:rFonts w:hint="eastAsia" w:ascii="宋体" w:hAnsi="宋体"/>
          <w:sz w:val="24"/>
          <w:lang w:val="en-US" w:eastAsia="zh-CN"/>
        </w:rPr>
        <w:t>20cm）</w:t>
      </w:r>
      <w:r>
        <w:rPr>
          <w:rFonts w:hint="eastAsia" w:ascii="宋体" w:hAnsi="宋体" w:eastAsia="宋体"/>
          <w:sz w:val="24"/>
          <w:lang w:val="en-US" w:eastAsia="zh-CN"/>
        </w:rPr>
        <w:t>、供水管线新建、供电管线新建、排水管网铺设</w:t>
      </w:r>
      <w:r>
        <w:rPr>
          <w:rFonts w:hint="eastAsia" w:ascii="宋体" w:hAnsi="宋体"/>
          <w:sz w:val="24"/>
          <w:lang w:val="en-US" w:eastAsia="zh-CN"/>
        </w:rPr>
        <w:t>、</w:t>
      </w:r>
      <w:r>
        <w:rPr>
          <w:rFonts w:hint="eastAsia" w:ascii="宋体" w:hAnsi="宋体" w:eastAsia="宋体" w:cs="Times New Roman"/>
          <w:sz w:val="24"/>
          <w:lang w:val="en-US" w:eastAsia="zh-CN"/>
        </w:rPr>
        <w:t>漏水防护施工，</w:t>
      </w:r>
      <w:r>
        <w:rPr>
          <w:rFonts w:hint="eastAsia" w:ascii="宋体" w:hAnsi="宋体" w:eastAsia="宋体"/>
          <w:sz w:val="24"/>
          <w:lang w:val="en-US" w:eastAsia="zh-CN"/>
        </w:rPr>
        <w:t>全部基建施工与设备安装同步开展，完工后统一进行通水、通电、整机试运行检测，确保无渗漏、无故障后正式投入使用；</w:t>
      </w:r>
    </w:p>
    <w:p>
      <w:pPr>
        <w:snapToGrid w:val="0"/>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2</w:t>
      </w:r>
      <w:r>
        <w:rPr>
          <w:rFonts w:hint="eastAsia" w:ascii="宋体" w:hAnsi="宋体"/>
          <w:sz w:val="24"/>
          <w:lang w:val="en-US" w:eastAsia="zh-CN"/>
        </w:rPr>
        <w:t>.</w:t>
      </w:r>
      <w:r>
        <w:rPr>
          <w:rFonts w:hint="eastAsia" w:ascii="宋体" w:hAnsi="宋体" w:eastAsia="宋体"/>
          <w:sz w:val="24"/>
          <w:lang w:val="en-US" w:eastAsia="zh-CN"/>
        </w:rPr>
        <w:t xml:space="preserve">按照安装维护标准提供维护配件价格及规格和安装所需配件价格，配置配套水桶、取水卡，合计配备60套； </w:t>
      </w:r>
    </w:p>
    <w:p>
      <w:pPr>
        <w:snapToGrid w:val="0"/>
        <w:spacing w:line="360" w:lineRule="auto"/>
        <w:ind w:firstLine="480" w:firstLineChars="200"/>
        <w:rPr>
          <w:rFonts w:hint="eastAsia" w:ascii="宋体" w:hAnsi="宋体" w:eastAsia="宋体"/>
          <w:sz w:val="24"/>
          <w:lang w:val="en-US" w:eastAsia="zh-CN"/>
        </w:rPr>
      </w:pPr>
      <w:r>
        <w:rPr>
          <w:rFonts w:hint="eastAsia" w:ascii="宋体" w:hAnsi="宋体" w:eastAsia="宋体"/>
          <w:sz w:val="24"/>
          <w:lang w:val="en-US" w:eastAsia="zh-CN"/>
        </w:rPr>
        <w:t>3</w:t>
      </w:r>
      <w:r>
        <w:rPr>
          <w:rFonts w:hint="eastAsia" w:ascii="宋体" w:hAnsi="宋体"/>
          <w:sz w:val="24"/>
          <w:lang w:val="en-US" w:eastAsia="zh-CN"/>
        </w:rPr>
        <w:t>.</w:t>
      </w:r>
      <w:r>
        <w:rPr>
          <w:rFonts w:hint="eastAsia" w:ascii="宋体" w:hAnsi="宋体" w:eastAsia="宋体"/>
          <w:sz w:val="24"/>
          <w:lang w:val="en-US" w:eastAsia="zh-CN"/>
        </w:rPr>
        <w:t>供方须建立健全成套、完善的售后服务体系，形成标准化服务管理制度。明确售后服务工作机制、服务响应时限、远程指导流程、现场维修流程、故障分级处置方案、节假日应急保障机制、投诉及问题闭环处理流程。明确专属售后对接人、技术对接电话、线上服务通道，保证24小时咨询响应、紧急故障快速处置、重大故障上门排查。全程做到服务流程标准化、问题处置规范化、售后责任清晰化，全面保障设备稳定、持续、安全运行；</w:t>
      </w:r>
    </w:p>
    <w:p>
      <w:pPr>
        <w:snapToGrid w:val="0"/>
        <w:spacing w:line="360" w:lineRule="auto"/>
        <w:ind w:firstLine="480" w:firstLineChars="200"/>
        <w:rPr>
          <w:rFonts w:hint="eastAsia" w:ascii="宋体" w:hAnsi="宋体" w:eastAsia="宋体"/>
          <w:sz w:val="24"/>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eastAsia="宋体"/>
          <w:sz w:val="24"/>
          <w:lang w:val="en-US" w:eastAsia="zh-CN"/>
        </w:rPr>
        <w:t>4</w:t>
      </w:r>
      <w:r>
        <w:rPr>
          <w:rFonts w:hint="eastAsia" w:ascii="宋体" w:hAnsi="宋体"/>
          <w:sz w:val="24"/>
          <w:lang w:val="en-US" w:eastAsia="zh-CN"/>
        </w:rPr>
        <w:t>.</w:t>
      </w:r>
      <w:r>
        <w:rPr>
          <w:rFonts w:hint="eastAsia" w:ascii="宋体" w:hAnsi="宋体" w:eastAsia="宋体"/>
          <w:sz w:val="24"/>
          <w:lang w:val="en-US" w:eastAsia="zh-CN"/>
        </w:rPr>
        <w:t>项目设备质保严格遵循高标准质保要求：整机设备质保期限不低于1年，质保期内非人为损坏产生的故障、性能异常、零部件老化失效等问题，由供方免费维修、免费调试、免费更换普通配件核心部件在质保期内出现质量缺陷、运行故障、功能失效的，供方无条件免费更换全新原厂配件，并提供免费上门检修调试服务。质保期内全程提供技术咨询、故障排查、定期技术回访服务，保障设备长期稳定、安全、高效运行。</w:t>
      </w:r>
      <w:r>
        <w:rPr>
          <w:rFonts w:hint="eastAsia" w:ascii="宋体" w:hAnsi="宋体" w:eastAsia="宋体"/>
          <w:sz w:val="24"/>
          <w:lang w:val="en-US" w:eastAsia="zh-CN"/>
        </w:rPr>
        <w:br w:type="page"/>
      </w:r>
    </w:p>
    <w:p>
      <w:pPr>
        <w:jc w:val="center"/>
        <w:rPr>
          <w:rFonts w:hint="eastAsia" w:asciiTheme="majorEastAsia" w:hAnsiTheme="majorEastAsia" w:eastAsiaTheme="majorEastAsia" w:cstheme="majorEastAsia"/>
          <w:b/>
          <w:bCs/>
          <w:sz w:val="44"/>
          <w:szCs w:val="44"/>
          <w:lang w:eastAsia="zh-CN"/>
        </w:rPr>
      </w:pPr>
    </w:p>
    <w:p>
      <w:pPr>
        <w:jc w:val="center"/>
        <w:rPr>
          <w:rFonts w:hint="eastAsia" w:asciiTheme="majorEastAsia" w:hAnsiTheme="majorEastAsia" w:eastAsiaTheme="majorEastAsia" w:cstheme="majorEastAsia"/>
          <w:b/>
          <w:bCs/>
          <w:sz w:val="44"/>
          <w:szCs w:val="44"/>
          <w:lang w:eastAsia="zh-CN"/>
        </w:rPr>
      </w:pPr>
      <w:r>
        <w:rPr>
          <w:rFonts w:hint="eastAsia" w:asciiTheme="majorEastAsia" w:hAnsiTheme="majorEastAsia" w:eastAsiaTheme="majorEastAsia" w:cstheme="majorEastAsia"/>
          <w:b/>
          <w:bCs/>
          <w:sz w:val="44"/>
          <w:szCs w:val="44"/>
          <w:lang w:eastAsia="zh-CN"/>
        </w:rPr>
        <w:t>最终报价一览表</w:t>
      </w:r>
    </w:p>
    <w:p>
      <w:pPr>
        <w:jc w:val="center"/>
        <w:rPr>
          <w:rFonts w:hint="eastAsia" w:ascii="华文仿宋" w:hAnsi="华文仿宋" w:eastAsia="华文仿宋" w:cs="华文仿宋"/>
          <w:sz w:val="32"/>
          <w:szCs w:val="32"/>
          <w:lang w:eastAsia="zh-CN"/>
        </w:rPr>
      </w:pPr>
    </w:p>
    <w:tbl>
      <w:tblPr>
        <w:tblStyle w:val="4"/>
        <w:tblW w:w="8620"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0"/>
        <w:gridCol w:w="2009"/>
        <w:gridCol w:w="3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trPr>
        <w:tc>
          <w:tcPr>
            <w:tcW w:w="2800" w:type="dxa"/>
            <w:vAlign w:val="center"/>
          </w:tcPr>
          <w:p>
            <w:pPr>
              <w:jc w:val="center"/>
              <w:rPr>
                <w:rFonts w:hint="eastAsia" w:ascii="华文仿宋" w:hAnsi="华文仿宋" w:eastAsia="华文仿宋" w:cs="华文仿宋"/>
                <w:sz w:val="28"/>
                <w:szCs w:val="28"/>
                <w:vertAlign w:val="baseline"/>
                <w:lang w:eastAsia="zh-CN"/>
              </w:rPr>
            </w:pPr>
            <w:r>
              <w:rPr>
                <w:rFonts w:hint="eastAsia" w:ascii="华文仿宋" w:hAnsi="华文仿宋" w:eastAsia="华文仿宋" w:cs="华文仿宋"/>
                <w:sz w:val="28"/>
                <w:szCs w:val="28"/>
                <w:vertAlign w:val="baseline"/>
                <w:lang w:eastAsia="zh-CN"/>
              </w:rPr>
              <w:t>项目名称</w:t>
            </w:r>
          </w:p>
        </w:tc>
        <w:tc>
          <w:tcPr>
            <w:tcW w:w="5820" w:type="dxa"/>
            <w:gridSpan w:val="2"/>
            <w:vAlign w:val="center"/>
          </w:tcPr>
          <w:p>
            <w:pPr>
              <w:widowControl/>
              <w:spacing w:line="600" w:lineRule="auto"/>
              <w:jc w:val="center"/>
              <w:rPr>
                <w:rFonts w:hint="eastAsia" w:ascii="华文仿宋" w:hAnsi="华文仿宋" w:eastAsia="华文仿宋" w:cs="华文仿宋"/>
                <w:b w:val="0"/>
                <w:bCs w:val="0"/>
                <w:sz w:val="28"/>
                <w:szCs w:val="28"/>
                <w:lang w:val="en" w:eastAsia="zh-CN"/>
              </w:rPr>
            </w:pPr>
            <w:r>
              <w:rPr>
                <w:rFonts w:hint="eastAsia" w:ascii="华文仿宋" w:hAnsi="华文仿宋" w:eastAsia="华文仿宋" w:cs="华文仿宋"/>
                <w:b w:val="0"/>
                <w:bCs w:val="0"/>
                <w:kern w:val="2"/>
                <w:sz w:val="28"/>
                <w:szCs w:val="28"/>
                <w:lang w:val="en-US" w:eastAsia="zh-CN" w:bidi="ar-SA"/>
              </w:rPr>
              <w:t>山东黄河物资储备中心智能饮水设备采购项目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trPr>
        <w:tc>
          <w:tcPr>
            <w:tcW w:w="2800" w:type="dxa"/>
            <w:vAlign w:val="center"/>
          </w:tcPr>
          <w:p>
            <w:pPr>
              <w:jc w:val="center"/>
              <w:rPr>
                <w:rFonts w:hint="eastAsia" w:ascii="华文仿宋" w:hAnsi="华文仿宋" w:eastAsia="华文仿宋" w:cs="华文仿宋"/>
                <w:sz w:val="28"/>
                <w:szCs w:val="28"/>
                <w:vertAlign w:val="baseline"/>
                <w:lang w:eastAsia="zh-CN"/>
              </w:rPr>
            </w:pPr>
            <w:r>
              <w:rPr>
                <w:rFonts w:hint="eastAsia" w:ascii="华文仿宋" w:hAnsi="华文仿宋" w:eastAsia="华文仿宋" w:cs="华文仿宋"/>
                <w:sz w:val="28"/>
                <w:szCs w:val="28"/>
                <w:vertAlign w:val="baseline"/>
                <w:lang w:eastAsia="zh-CN"/>
              </w:rPr>
              <w:t>供应商名称</w:t>
            </w:r>
          </w:p>
        </w:tc>
        <w:tc>
          <w:tcPr>
            <w:tcW w:w="5820" w:type="dxa"/>
            <w:gridSpan w:val="2"/>
            <w:vAlign w:val="center"/>
          </w:tcPr>
          <w:p>
            <w:pPr>
              <w:jc w:val="center"/>
              <w:rPr>
                <w:rFonts w:hint="eastAsia" w:ascii="华文仿宋" w:hAnsi="华文仿宋" w:eastAsia="华文仿宋" w:cs="华文仿宋"/>
                <w:sz w:val="28"/>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2800" w:type="dxa"/>
            <w:vMerge w:val="restart"/>
            <w:vAlign w:val="center"/>
          </w:tcPr>
          <w:p>
            <w:pPr>
              <w:ind w:firstLine="840" w:firstLineChars="300"/>
              <w:jc w:val="both"/>
              <w:rPr>
                <w:rFonts w:hint="eastAsia" w:ascii="华文仿宋" w:hAnsi="华文仿宋" w:eastAsia="华文仿宋" w:cs="华文仿宋"/>
                <w:sz w:val="28"/>
                <w:szCs w:val="28"/>
                <w:vertAlign w:val="baseline"/>
                <w:lang w:eastAsia="zh-CN"/>
              </w:rPr>
            </w:pPr>
            <w:r>
              <w:rPr>
                <w:rFonts w:hint="eastAsia" w:ascii="华文仿宋" w:hAnsi="华文仿宋" w:eastAsia="华文仿宋" w:cs="华文仿宋"/>
                <w:sz w:val="28"/>
                <w:szCs w:val="28"/>
                <w:vertAlign w:val="baseline"/>
                <w:lang w:eastAsia="zh-CN"/>
              </w:rPr>
              <w:t>最终报价</w:t>
            </w:r>
          </w:p>
        </w:tc>
        <w:tc>
          <w:tcPr>
            <w:tcW w:w="2009" w:type="dxa"/>
            <w:vAlign w:val="center"/>
          </w:tcPr>
          <w:p>
            <w:pPr>
              <w:jc w:val="center"/>
              <w:rPr>
                <w:rFonts w:hint="eastAsia" w:ascii="华文仿宋" w:hAnsi="华文仿宋" w:eastAsia="华文仿宋" w:cs="华文仿宋"/>
                <w:sz w:val="28"/>
                <w:szCs w:val="28"/>
                <w:vertAlign w:val="baseline"/>
                <w:lang w:eastAsia="zh-CN"/>
              </w:rPr>
            </w:pPr>
            <w:r>
              <w:rPr>
                <w:rFonts w:hint="eastAsia" w:ascii="华文仿宋" w:hAnsi="华文仿宋" w:eastAsia="华文仿宋" w:cs="华文仿宋"/>
                <w:sz w:val="28"/>
                <w:szCs w:val="28"/>
                <w:vertAlign w:val="baseline"/>
                <w:lang w:eastAsia="zh-CN"/>
              </w:rPr>
              <w:t>大写</w:t>
            </w:r>
          </w:p>
        </w:tc>
        <w:tc>
          <w:tcPr>
            <w:tcW w:w="3811" w:type="dxa"/>
            <w:vAlign w:val="center"/>
          </w:tcPr>
          <w:p>
            <w:pPr>
              <w:jc w:val="both"/>
              <w:rPr>
                <w:rFonts w:hint="eastAsia" w:ascii="华文仿宋" w:hAnsi="华文仿宋" w:eastAsia="华文仿宋" w:cs="华文仿宋"/>
                <w:sz w:val="28"/>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800" w:type="dxa"/>
            <w:vMerge w:val="continue"/>
            <w:vAlign w:val="center"/>
          </w:tcPr>
          <w:p>
            <w:pPr>
              <w:jc w:val="center"/>
              <w:rPr>
                <w:rFonts w:hint="eastAsia" w:ascii="华文仿宋" w:hAnsi="华文仿宋" w:eastAsia="华文仿宋" w:cs="华文仿宋"/>
                <w:sz w:val="28"/>
                <w:szCs w:val="28"/>
                <w:vertAlign w:val="baseline"/>
                <w:lang w:eastAsia="zh-CN"/>
              </w:rPr>
            </w:pPr>
          </w:p>
        </w:tc>
        <w:tc>
          <w:tcPr>
            <w:tcW w:w="2009" w:type="dxa"/>
            <w:vAlign w:val="center"/>
          </w:tcPr>
          <w:p>
            <w:pPr>
              <w:jc w:val="center"/>
              <w:rPr>
                <w:rFonts w:hint="eastAsia" w:ascii="华文仿宋" w:hAnsi="华文仿宋" w:eastAsia="华文仿宋" w:cs="华文仿宋"/>
                <w:sz w:val="28"/>
                <w:szCs w:val="28"/>
                <w:vertAlign w:val="baseline"/>
                <w:lang w:eastAsia="zh-CN"/>
              </w:rPr>
            </w:pPr>
            <w:r>
              <w:rPr>
                <w:rFonts w:hint="eastAsia" w:ascii="华文仿宋" w:hAnsi="华文仿宋" w:eastAsia="华文仿宋" w:cs="华文仿宋"/>
                <w:sz w:val="28"/>
                <w:szCs w:val="28"/>
                <w:vertAlign w:val="baseline"/>
                <w:lang w:eastAsia="zh-CN"/>
              </w:rPr>
              <w:t>小写</w:t>
            </w:r>
          </w:p>
        </w:tc>
        <w:tc>
          <w:tcPr>
            <w:tcW w:w="3811" w:type="dxa"/>
            <w:vAlign w:val="center"/>
          </w:tcPr>
          <w:p>
            <w:pPr>
              <w:jc w:val="center"/>
              <w:rPr>
                <w:rFonts w:hint="eastAsia" w:ascii="华文仿宋" w:hAnsi="华文仿宋" w:eastAsia="华文仿宋" w:cs="华文仿宋"/>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2800" w:type="dxa"/>
            <w:vAlign w:val="center"/>
          </w:tcPr>
          <w:p>
            <w:pPr>
              <w:jc w:val="center"/>
              <w:rPr>
                <w:rFonts w:hint="eastAsia" w:ascii="华文仿宋" w:hAnsi="华文仿宋" w:eastAsia="华文仿宋" w:cs="华文仿宋"/>
                <w:sz w:val="28"/>
                <w:szCs w:val="28"/>
                <w:vertAlign w:val="baseline"/>
                <w:lang w:eastAsia="zh-CN"/>
              </w:rPr>
            </w:pPr>
            <w:r>
              <w:rPr>
                <w:rFonts w:hint="eastAsia" w:ascii="华文仿宋" w:hAnsi="华文仿宋" w:eastAsia="华文仿宋" w:cs="华文仿宋"/>
                <w:sz w:val="28"/>
                <w:szCs w:val="28"/>
                <w:vertAlign w:val="baseline"/>
                <w:lang w:eastAsia="zh-CN"/>
              </w:rPr>
              <w:t>承</w:t>
            </w:r>
            <w:r>
              <w:rPr>
                <w:rFonts w:hint="eastAsia" w:ascii="华文仿宋" w:hAnsi="华文仿宋" w:eastAsia="华文仿宋" w:cs="华文仿宋"/>
                <w:sz w:val="28"/>
                <w:szCs w:val="28"/>
                <w:vertAlign w:val="baseline"/>
                <w:lang w:val="en-US" w:eastAsia="zh-CN"/>
              </w:rPr>
              <w:t xml:space="preserve">  </w:t>
            </w:r>
            <w:r>
              <w:rPr>
                <w:rFonts w:hint="eastAsia" w:ascii="华文仿宋" w:hAnsi="华文仿宋" w:eastAsia="华文仿宋" w:cs="华文仿宋"/>
                <w:sz w:val="28"/>
                <w:szCs w:val="28"/>
                <w:vertAlign w:val="baseline"/>
                <w:lang w:eastAsia="zh-CN"/>
              </w:rPr>
              <w:t>诺</w:t>
            </w:r>
          </w:p>
        </w:tc>
        <w:tc>
          <w:tcPr>
            <w:tcW w:w="5820" w:type="dxa"/>
            <w:gridSpan w:val="2"/>
            <w:vAlign w:val="center"/>
          </w:tcPr>
          <w:p>
            <w:pPr>
              <w:jc w:val="center"/>
              <w:rPr>
                <w:rFonts w:hint="eastAsia" w:ascii="华文仿宋" w:hAnsi="华文仿宋" w:eastAsia="华文仿宋" w:cs="华文仿宋"/>
                <w:sz w:val="28"/>
                <w:szCs w:val="28"/>
                <w:vertAlign w:val="baseline"/>
                <w:lang w:eastAsia="zh-CN"/>
              </w:rPr>
            </w:pPr>
            <w:r>
              <w:rPr>
                <w:rFonts w:hint="eastAsia" w:ascii="华文仿宋" w:hAnsi="华文仿宋" w:eastAsia="华文仿宋" w:cs="华文仿宋"/>
                <w:sz w:val="28"/>
                <w:szCs w:val="28"/>
                <w:vertAlign w:val="baseline"/>
                <w:lang w:eastAsia="zh-CN"/>
              </w:rPr>
              <w:t>报价为真实报价，质保期</w:t>
            </w:r>
            <w:r>
              <w:rPr>
                <w:rFonts w:hint="eastAsia" w:ascii="华文仿宋" w:hAnsi="华文仿宋" w:eastAsia="华文仿宋" w:cs="华文仿宋"/>
                <w:sz w:val="28"/>
                <w:szCs w:val="28"/>
                <w:vertAlign w:val="baseline"/>
                <w:lang w:val="en-US" w:eastAsia="zh-CN"/>
              </w:rPr>
              <w:t xml:space="preserve">  年，</w:t>
            </w:r>
            <w:r>
              <w:rPr>
                <w:rFonts w:hint="eastAsia" w:ascii="华文仿宋" w:hAnsi="华文仿宋" w:eastAsia="华文仿宋" w:cs="华文仿宋"/>
                <w:sz w:val="28"/>
                <w:szCs w:val="28"/>
                <w:vertAlign w:val="baseline"/>
                <w:lang w:eastAsia="zh-CN"/>
              </w:rPr>
              <w:t>报价含运输、安装、测试、施工、税金等一切费用。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pPr>
              <w:jc w:val="center"/>
              <w:rPr>
                <w:rFonts w:hint="eastAsia" w:ascii="华文仿宋" w:hAnsi="华文仿宋" w:eastAsia="华文仿宋" w:cs="华文仿宋"/>
                <w:sz w:val="28"/>
                <w:szCs w:val="28"/>
                <w:vertAlign w:val="baseline"/>
                <w:lang w:eastAsia="zh-CN"/>
              </w:rPr>
            </w:pPr>
            <w:r>
              <w:rPr>
                <w:rFonts w:hint="eastAsia" w:ascii="华文仿宋" w:hAnsi="华文仿宋" w:eastAsia="华文仿宋" w:cs="华文仿宋"/>
                <w:sz w:val="28"/>
                <w:szCs w:val="28"/>
                <w:vertAlign w:val="baseline"/>
                <w:lang w:eastAsia="zh-CN"/>
              </w:rPr>
              <w:t>供应商法定代表人或授权代表确认签名</w:t>
            </w:r>
          </w:p>
        </w:tc>
        <w:tc>
          <w:tcPr>
            <w:tcW w:w="5820" w:type="dxa"/>
            <w:gridSpan w:val="2"/>
            <w:vAlign w:val="center"/>
          </w:tcPr>
          <w:p>
            <w:pPr>
              <w:jc w:val="center"/>
              <w:rPr>
                <w:rFonts w:hint="eastAsia" w:ascii="华文仿宋" w:hAnsi="华文仿宋" w:eastAsia="华文仿宋" w:cs="华文仿宋"/>
                <w:sz w:val="28"/>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pPr>
              <w:jc w:val="center"/>
              <w:rPr>
                <w:rFonts w:hint="eastAsia" w:ascii="华文仿宋" w:hAnsi="华文仿宋" w:eastAsia="华文仿宋" w:cs="华文仿宋"/>
                <w:sz w:val="28"/>
                <w:szCs w:val="28"/>
                <w:vertAlign w:val="baseline"/>
                <w:lang w:eastAsia="zh-CN"/>
              </w:rPr>
            </w:pPr>
            <w:r>
              <w:rPr>
                <w:rFonts w:hint="eastAsia" w:ascii="华文仿宋" w:hAnsi="华文仿宋" w:eastAsia="华文仿宋" w:cs="华文仿宋"/>
                <w:sz w:val="28"/>
                <w:szCs w:val="28"/>
                <w:vertAlign w:val="baseline"/>
                <w:lang w:eastAsia="zh-CN"/>
              </w:rPr>
              <w:t>日</w:t>
            </w:r>
            <w:r>
              <w:rPr>
                <w:rFonts w:hint="eastAsia" w:ascii="华文仿宋" w:hAnsi="华文仿宋" w:eastAsia="华文仿宋" w:cs="华文仿宋"/>
                <w:sz w:val="28"/>
                <w:szCs w:val="28"/>
                <w:vertAlign w:val="baseline"/>
                <w:lang w:val="en-US" w:eastAsia="zh-CN"/>
              </w:rPr>
              <w:t xml:space="preserve">  </w:t>
            </w:r>
            <w:r>
              <w:rPr>
                <w:rFonts w:hint="eastAsia" w:ascii="华文仿宋" w:hAnsi="华文仿宋" w:eastAsia="华文仿宋" w:cs="华文仿宋"/>
                <w:sz w:val="28"/>
                <w:szCs w:val="28"/>
                <w:vertAlign w:val="baseline"/>
                <w:lang w:eastAsia="zh-CN"/>
              </w:rPr>
              <w:t>期</w:t>
            </w:r>
          </w:p>
        </w:tc>
        <w:tc>
          <w:tcPr>
            <w:tcW w:w="5820" w:type="dxa"/>
            <w:gridSpan w:val="2"/>
            <w:vAlign w:val="center"/>
          </w:tcPr>
          <w:p>
            <w:pPr>
              <w:jc w:val="center"/>
              <w:rPr>
                <w:rFonts w:hint="eastAsia" w:ascii="华文仿宋" w:hAnsi="华文仿宋" w:eastAsia="华文仿宋" w:cs="华文仿宋"/>
                <w:sz w:val="28"/>
                <w:szCs w:val="28"/>
                <w:vertAlign w:val="baseline"/>
                <w:lang w:val="en-US" w:eastAsia="zh-CN"/>
              </w:rPr>
            </w:pPr>
          </w:p>
          <w:p>
            <w:pPr>
              <w:jc w:val="center"/>
              <w:rPr>
                <w:rFonts w:hint="eastAsia" w:ascii="华文仿宋" w:hAnsi="华文仿宋" w:eastAsia="华文仿宋" w:cs="华文仿宋"/>
                <w:sz w:val="28"/>
                <w:szCs w:val="28"/>
                <w:vertAlign w:val="baseline"/>
                <w:lang w:val="en-US" w:eastAsia="zh-CN"/>
              </w:rPr>
            </w:pPr>
            <w:r>
              <w:rPr>
                <w:rFonts w:hint="eastAsia" w:ascii="华文仿宋" w:hAnsi="华文仿宋" w:eastAsia="华文仿宋" w:cs="华文仿宋"/>
                <w:sz w:val="28"/>
                <w:szCs w:val="28"/>
                <w:vertAlign w:val="baseline"/>
                <w:lang w:val="en-US" w:eastAsia="zh-CN"/>
              </w:rPr>
              <w:t>2026年   月   日</w:t>
            </w:r>
          </w:p>
          <w:p>
            <w:pPr>
              <w:jc w:val="center"/>
              <w:rPr>
                <w:rFonts w:hint="default" w:ascii="华文仿宋" w:hAnsi="华文仿宋" w:eastAsia="华文仿宋" w:cs="华文仿宋"/>
                <w:sz w:val="28"/>
                <w:szCs w:val="28"/>
                <w:vertAlign w:val="baseline"/>
                <w:lang w:val="en-US" w:eastAsia="zh-CN"/>
              </w:rPr>
            </w:pPr>
          </w:p>
        </w:tc>
      </w:tr>
    </w:tbl>
    <w:p>
      <w:pPr>
        <w:jc w:val="center"/>
        <w:rPr>
          <w:rFonts w:hint="eastAsia"/>
          <w:sz w:val="32"/>
          <w:szCs w:val="32"/>
          <w:lang w:eastAsia="zh-CN"/>
        </w:rPr>
      </w:pPr>
    </w:p>
    <w:p>
      <w:pPr>
        <w:snapToGrid w:val="0"/>
        <w:spacing w:line="360" w:lineRule="auto"/>
        <w:ind w:firstLine="480" w:firstLineChars="200"/>
        <w:rPr>
          <w:rFonts w:hint="eastAsia" w:ascii="宋体" w:hAnsi="宋体" w:eastAsia="宋体"/>
          <w:sz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8"/>
    <w:family w:val="auto"/>
    <w:pitch w:val="default"/>
    <w:sig w:usb0="00000003" w:usb1="288F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方正小标宋简体">
    <w:panose1 w:val="02000000000000000000"/>
    <w:charset w:val="86"/>
    <w:family w:val="auto"/>
    <w:pitch w:val="default"/>
    <w:sig w:usb0="A00002BF" w:usb1="184F6CFA" w:usb2="00000012" w:usb3="00000000" w:csb0="00040001" w:csb1="00000000"/>
  </w:font>
  <w:font w:name="华文仿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drawingGridVerticalSpacing w:val="198"/>
  <w:displayHorizontalDrawingGridEvery w:val="1"/>
  <w:displayVerticalDrawingGridEvery w:val="2"/>
  <w:characterSpacingControl w:val="compressPunctuation"/>
  <w:compat>
    <w:balanceSingleByteDoubleByteWidth/>
    <w:doNotLeaveBackslashAlone/>
    <w:ulTrailSpace/>
    <w:doNotExpandShiftReturn/>
    <w:adjustLineHeightInTable/>
    <w:useFELayout/>
    <w:compatSetting w:name="compatibilityMode" w:uri="http://schemas.microsoft.com/office/word" w:val="11"/>
  </w:compat>
  <w:rsids>
    <w:rsidRoot w:val="00000000"/>
    <w:rsid w:val="5EFFD4D5"/>
    <w:rsid w:val="64EFFF7C"/>
    <w:rsid w:val="7FA5772A"/>
    <w:rsid w:val="7FFE43A3"/>
    <w:rsid w:val="D4F7F20A"/>
    <w:rsid w:val="F6E3AD22"/>
    <w:rsid w:val="FF5F12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6"/>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标题 11"/>
    <w:basedOn w:val="1"/>
    <w:qFormat/>
    <w:uiPriority w:val="0"/>
    <w:pPr>
      <w:keepNext/>
      <w:keepLines/>
      <w:spacing w:before="340" w:beforeAutospacing="0" w:after="330" w:afterAutospacing="0" w:line="576" w:lineRule="auto"/>
      <w:outlineLvl w:val="0"/>
    </w:pPr>
    <w:rPr>
      <w:b/>
      <w:kern w:val="44"/>
      <w:sz w:val="32"/>
    </w:rPr>
  </w:style>
  <w:style w:type="paragraph" w:customStyle="1" w:styleId="7">
    <w:name w:val="标题 21"/>
    <w:basedOn w:val="1"/>
    <w:qFormat/>
    <w:uiPriority w:val="0"/>
    <w:pPr>
      <w:keepNext/>
      <w:keepLines/>
      <w:spacing w:before="260" w:after="260" w:line="416" w:lineRule="auto"/>
      <w:outlineLvl w:val="1"/>
    </w:pPr>
    <w:rPr>
      <w:rFonts w:ascii="Cambria" w:hAnsi="Cambria" w:eastAsia="宋体"/>
      <w:b/>
      <w:bCs/>
      <w:sz w:val="32"/>
      <w:szCs w:val="32"/>
    </w:rPr>
  </w:style>
  <w:style w:type="paragraph" w:customStyle="1" w:styleId="8">
    <w:name w:val="标题 31"/>
    <w:basedOn w:val="1"/>
    <w:qFormat/>
    <w:uiPriority w:val="0"/>
    <w:pPr>
      <w:keepNext/>
      <w:keepLines/>
      <w:spacing w:before="260" w:after="260" w:line="416" w:lineRule="auto"/>
      <w:outlineLvl w:val="2"/>
    </w:pPr>
    <w:rPr>
      <w:rFonts w:eastAsia="宋体"/>
      <w:b/>
      <w:bCs/>
      <w:sz w:val="28"/>
      <w:szCs w:val="32"/>
    </w:rPr>
  </w:style>
  <w:style w:type="paragraph" w:customStyle="1" w:styleId="9">
    <w:name w:val="标题 41"/>
    <w:basedOn w:val="1"/>
    <w:qFormat/>
    <w:uiPriority w:val="0"/>
    <w:pPr>
      <w:keepNext/>
      <w:keepLines/>
      <w:spacing w:before="280" w:beforeAutospacing="0" w:after="290" w:afterAutospacing="0" w:line="372" w:lineRule="auto"/>
      <w:outlineLvl w:val="3"/>
    </w:pPr>
    <w:rPr>
      <w:rFonts w:ascii="Cambria" w:hAnsi="Cambria" w:eastAsia="宋体"/>
      <w:b/>
      <w:kern w:val="2"/>
      <w:sz w:val="28"/>
    </w:rPr>
  </w:style>
  <w:style w:type="character" w:customStyle="1" w:styleId="10">
    <w:name w:val="默认段落字体1"/>
    <w:link w:val="1"/>
    <w:semiHidden/>
    <w:qFormat/>
    <w:uiPriority w:val="0"/>
  </w:style>
  <w:style w:type="table" w:customStyle="1" w:styleId="11">
    <w:name w:val="普通表格1"/>
    <w:semiHidden/>
    <w:qFormat/>
    <w:uiPriority w:val="0"/>
  </w:style>
  <w:style w:type="paragraph" w:customStyle="1" w:styleId="12">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13">
    <w:name w:val="标题1"/>
    <w:basedOn w:val="1"/>
    <w:qFormat/>
    <w:uiPriority w:val="0"/>
    <w:pPr>
      <w:spacing w:before="240" w:after="60"/>
      <w:jc w:val="center"/>
      <w:outlineLvl w:val="0"/>
    </w:pPr>
    <w:rPr>
      <w:rFonts w:ascii="Cambria" w:hAnsi="Cambria" w:eastAsia="宋体"/>
      <w:b/>
      <w:bCs/>
      <w:sz w:val="32"/>
      <w:szCs w:val="32"/>
    </w:rPr>
  </w:style>
  <w:style w:type="character" w:customStyle="1" w:styleId="14">
    <w:name w:val="要点1"/>
    <w:link w:val="1"/>
    <w:qFormat/>
    <w:uiPriority w:val="0"/>
    <w:rPr>
      <w:rFonts w:ascii="Times New Roman" w:hAnsi="Times New Roman"/>
      <w:b/>
      <w:bCs/>
      <w:szCs w:val="24"/>
    </w:rPr>
  </w:style>
  <w:style w:type="character" w:customStyle="1" w:styleId="15">
    <w:name w:val="超链接1"/>
    <w:basedOn w:val="10"/>
    <w:link w:val="1"/>
    <w:qFormat/>
    <w:uiPriority w:val="0"/>
    <w:rPr>
      <w:color w:val="0000FF"/>
      <w:u w:val="single"/>
    </w:rPr>
  </w:style>
  <w:style w:type="character" w:customStyle="1" w:styleId="16">
    <w:name w:val="font11"/>
    <w:basedOn w:val="10"/>
    <w:link w:val="1"/>
    <w:qFormat/>
    <w:uiPriority w:val="0"/>
    <w:rPr>
      <w:rFonts w:ascii="Arial" w:hAnsi="Arial"/>
      <w:color w:val="000000"/>
      <w:sz w:val="24"/>
      <w:szCs w:val="24"/>
      <w:u w:val="none"/>
    </w:rPr>
  </w:style>
  <w:style w:type="paragraph" w:customStyle="1" w:styleId="17">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styleId="18">
    <w:name w:val="List Paragraph"/>
    <w:basedOn w:val="1"/>
    <w:qFormat/>
    <w:uiPriority w:val="0"/>
    <w:pPr>
      <w:ind w:firstLine="420" w:firstLineChars="200"/>
    </w:pPr>
    <w:rPr>
      <w:rFonts w:ascii="Calibri" w:hAnsi="Calibri"/>
      <w:szCs w:val="22"/>
    </w:rPr>
  </w:style>
  <w:style w:type="paragraph" w:customStyle="1" w:styleId="19">
    <w:name w:val="首行缩进"/>
    <w:basedOn w:val="1"/>
    <w:qFormat/>
    <w:uiPriority w:val="0"/>
    <w:pPr>
      <w:ind w:left="210" w:leftChars="100" w:firstLine="420" w:firstLineChars="200"/>
    </w:pPr>
    <w:rPr>
      <w:rFonts w:ascii="宋体" w:hAnsi="宋体"/>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0</Pages>
  <Words>0</Words>
  <Characters>0</Characters>
  <Lines>0</Lines>
  <Paragraphs>0</Paragraphs>
  <TotalTime>18</TotalTime>
  <ScaleCrop>false</ScaleCrop>
  <LinksUpToDate>false</LinksUpToDate>
  <CharactersWithSpaces>0</CharactersWithSpaces>
  <Application>WPS Office_11.8.2.1130_F1E327BC-269C-435d-A152-05C5408002CA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2026-08-25T23:52:00Z</dcterms:created>
  <dc:creator>pc</dc:creator>
  <cp:lastModifiedBy>pc</cp:lastModifiedBy>
  <dcterms:modified xsi:type="dcterms:W3CDTF">2026-08-26T10:03:09Z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2052-11.8.2.1130</vt:lpwstr>
  </property>
  <property fmtid="{D5CDD505-2E9C-101B-9397-08002B2CF9AE}" pid="3" name="ICV">
    <vt:lpwstr>7C831F9257D7F13841FD8B6ABD414955</vt:lpwstr>
  </property>
</Properties>
</file>